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 Утвердить распределение прибыли Общества по результатам 2024 года в размере 721 130 тыс. руб. и часть нераспределенной прибыли прошлых лет Общества, накопленной по состоянию на 31.12.2024, в размере 2</w:t>
      </w:r>
      <w:r w:rsid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473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354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тыс. руб., в общей сумме 3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194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484 тыс. руб. на выплату дивидендов.</w:t>
      </w:r>
    </w:p>
    <w:p w:rsidR="00D00A75" w:rsidRPr="001656AE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Оставшуюся нераспределенную прибыль по результатам 2024 года в размере 257</w:t>
      </w:r>
      <w:r w:rsidR="006241C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794 тыс. руб. не распределять.</w:t>
      </w:r>
    </w:p>
    <w:p w:rsidR="00D00A75" w:rsidRPr="001656AE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2. Выплатить дивиденды по обыкновенным акциям Общества по результатам 2024 года (в том числе из нераспределенной прибыли прошлых лет) в размере 0,000828802 рубля на одну обыкновенную акцию Общества в денежной форме в сроки, установленные действующим законодательством Российской Федерации. </w:t>
      </w:r>
    </w:p>
    <w:p w:rsidR="00D00A75" w:rsidRPr="001656AE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 Установить дату, на которую определяются лица, имеющие право на получение дивидендов по обыкновенным акциям Общества по результатам 2024 года (в том числе из нераспределенной прибыли прошлых лет), - 08 июля 2025 года (на конец операционного дня).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2D601EBD-DFAF-466D-B85C-E7E64851E115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61744E0D-E3E3-4518-BFFC-6F086B862F92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